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EB" w:rsidRPr="005A146E" w:rsidRDefault="00A14DEB" w:rsidP="005A1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1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декабря</w:t>
      </w:r>
      <w:r w:rsidR="006644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</w:t>
      </w:r>
      <w:r w:rsidRPr="005A1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Международный день борьбы с коррупцией</w:t>
      </w:r>
    </w:p>
    <w:p w:rsidR="00A14DEB" w:rsidRPr="000171C3" w:rsidRDefault="00A14DEB" w:rsidP="00A1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DEB" w:rsidRPr="00A14DEB" w:rsidRDefault="00A14DEB" w:rsidP="00A1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Международный день борьбы с коррупцией провозглашен Ген</w:t>
      </w:r>
      <w:r w:rsidR="007D03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еральной </w:t>
      </w:r>
      <w:r w:rsidRPr="00017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ассамблеей ООН и отмечается ежегодно 9 декабря. В этот день в 2003 году была открыта для подписания Конвенция ООН против коррупции. 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 Россия в числе первых стран подписала Конвенцию.</w:t>
      </w:r>
    </w:p>
    <w:p w:rsidR="00A14DEB" w:rsidRPr="000171C3" w:rsidRDefault="00A14DEB" w:rsidP="00A14DEB">
      <w:pPr>
        <w:pStyle w:val="a3"/>
        <w:spacing w:before="0" w:beforeAutospacing="0" w:after="0" w:afterAutospacing="0"/>
        <w:ind w:firstLine="709"/>
        <w:jc w:val="both"/>
      </w:pPr>
      <w:r w:rsidRPr="000171C3">
        <w:t xml:space="preserve">В связи с этим и предстоящими новогодними и рождественскими праздниками напоминаем о необходимости соблюдения </w:t>
      </w:r>
      <w:r w:rsidRPr="000171C3">
        <w:rPr>
          <w:b/>
        </w:rPr>
        <w:t>запрета дарить и получать подарки</w:t>
      </w:r>
      <w:r w:rsidRPr="000171C3">
        <w:t xml:space="preserve"> лицами, замещающими государственные и муниципальные должности Алтайского края, государственными гражданскими служащими, муниципальными служащими Алтайского края, а также руководителями организаций и учреждений, созданных для выполнения задач, поставленных перед государственными органами. </w:t>
      </w:r>
    </w:p>
    <w:p w:rsidR="00A14DEB" w:rsidRPr="000171C3" w:rsidRDefault="00A14DEB" w:rsidP="00A14DEB">
      <w:pPr>
        <w:pStyle w:val="a3"/>
        <w:spacing w:before="0" w:beforeAutospacing="0" w:after="0" w:afterAutospacing="0"/>
        <w:ind w:firstLine="709"/>
        <w:jc w:val="both"/>
      </w:pPr>
      <w:r w:rsidRPr="000171C3"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A14DEB" w:rsidRPr="000171C3" w:rsidRDefault="00A14DEB" w:rsidP="000171C3">
      <w:pPr>
        <w:pStyle w:val="a3"/>
        <w:spacing w:before="0" w:beforeAutospacing="0" w:after="0" w:afterAutospacing="0"/>
        <w:ind w:firstLine="709"/>
        <w:jc w:val="both"/>
      </w:pPr>
      <w:r w:rsidRPr="000171C3">
        <w:rPr>
          <w:b/>
          <w:i/>
        </w:rPr>
        <w:t>Исключением</w:t>
      </w:r>
      <w:r w:rsidRPr="000171C3">
        <w:t xml:space="preserve"> являются подарки, которые получены в связи с протокольными мероприятиями, со служебными командировками, с другими официальными мероприятиями и подлежат сдаче.</w:t>
      </w:r>
    </w:p>
    <w:p w:rsidR="00A14DEB" w:rsidRPr="000171C3" w:rsidRDefault="00A14DEB" w:rsidP="000171C3">
      <w:pPr>
        <w:pStyle w:val="a3"/>
        <w:spacing w:before="0" w:beforeAutospacing="0" w:after="0" w:afterAutospacing="0"/>
        <w:ind w:firstLine="709"/>
        <w:jc w:val="both"/>
      </w:pPr>
      <w:r w:rsidRPr="000171C3">
        <w:t>Получение соответствующим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0171C3" w:rsidRDefault="000171C3" w:rsidP="000171C3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A14DEB" w:rsidRDefault="00A14DEB" w:rsidP="000171C3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0171C3">
        <w:rPr>
          <w:b/>
        </w:rPr>
        <w:t xml:space="preserve">НАПОМИНАЕМ!!!! </w:t>
      </w:r>
    </w:p>
    <w:p w:rsidR="000171C3" w:rsidRPr="000171C3" w:rsidRDefault="000171C3" w:rsidP="000171C3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9F7463" w:rsidRPr="000171C3" w:rsidRDefault="000171C3" w:rsidP="00017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1C3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0171C3">
        <w:rPr>
          <w:rFonts w:ascii="Times New Roman" w:hAnsi="Times New Roman" w:cs="Times New Roman"/>
          <w:sz w:val="24"/>
          <w:szCs w:val="24"/>
        </w:rPr>
        <w:t> </w:t>
      </w:r>
      <w:r w:rsidR="009F7463" w:rsidRPr="000171C3">
        <w:rPr>
          <w:rFonts w:ascii="Times New Roman" w:hAnsi="Times New Roman" w:cs="Times New Roman"/>
          <w:sz w:val="24"/>
          <w:szCs w:val="24"/>
        </w:rPr>
        <w:t xml:space="preserve">— принимаемые должностным лицом материальные ценности (предметы или </w:t>
      </w:r>
      <w:hyperlink r:id="rId5" w:tooltip="Деньги" w:history="1">
        <w:r w:rsidR="009F7463" w:rsidRPr="000171C3">
          <w:rPr>
            <w:rStyle w:val="a4"/>
            <w:rFonts w:ascii="Times New Roman" w:hAnsi="Times New Roman" w:cs="Times New Roman"/>
            <w:sz w:val="24"/>
            <w:szCs w:val="24"/>
          </w:rPr>
          <w:t>деньги</w:t>
        </w:r>
      </w:hyperlink>
      <w:r w:rsidR="009F7463" w:rsidRPr="000171C3">
        <w:rPr>
          <w:rFonts w:ascii="Times New Roman" w:hAnsi="Times New Roman" w:cs="Times New Roman"/>
          <w:sz w:val="24"/>
          <w:szCs w:val="24"/>
        </w:rPr>
        <w:t>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0171C3" w:rsidRDefault="000171C3" w:rsidP="000171C3">
      <w:pPr>
        <w:pStyle w:val="menutop"/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lang w:val="ru-RU"/>
        </w:rPr>
      </w:pPr>
    </w:p>
    <w:p w:rsidR="009F7463" w:rsidRPr="000171C3" w:rsidRDefault="009F7463" w:rsidP="000171C3">
      <w:pPr>
        <w:pStyle w:val="menutop"/>
        <w:spacing w:before="0" w:beforeAutospacing="0" w:after="0" w:afterAutospacing="0"/>
        <w:jc w:val="center"/>
        <w:rPr>
          <w:rFonts w:ascii="Times New Roman" w:hAnsi="Times New Roman"/>
          <w:b/>
          <w:lang w:val="ru-RU"/>
        </w:rPr>
      </w:pPr>
      <w:r w:rsidRPr="000171C3">
        <w:rPr>
          <w:rFonts w:ascii="Times New Roman" w:hAnsi="Times New Roman"/>
          <w:b/>
          <w:lang w:val="ru-RU"/>
        </w:rPr>
        <w:t>ВЗЯТКОЙ МОГУТ БЫТЬ:</w:t>
      </w:r>
    </w:p>
    <w:p w:rsidR="009F7463" w:rsidRPr="000171C3" w:rsidRDefault="009F7463" w:rsidP="000171C3">
      <w:pPr>
        <w:pStyle w:val="menutop"/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lang w:val="ru-RU"/>
        </w:rPr>
      </w:pPr>
    </w:p>
    <w:p w:rsidR="00477E1C" w:rsidRPr="000171C3" w:rsidRDefault="008155F1" w:rsidP="000171C3">
      <w:pPr>
        <w:pStyle w:val="menutop"/>
        <w:spacing w:before="0" w:beforeAutospacing="0" w:after="0" w:afterAutospacing="0"/>
        <w:ind w:firstLine="567"/>
        <w:jc w:val="both"/>
        <w:rPr>
          <w:rFonts w:ascii="Times New Roman" w:hAnsi="Times New Roman"/>
          <w:lang w:val="ru-RU"/>
        </w:rPr>
      </w:pPr>
      <w:r w:rsidRPr="008155F1">
        <w:rPr>
          <w:rFonts w:ascii="Times New Roman" w:hAnsi="Times New Roman"/>
          <w:b/>
          <w:bCs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06.8pt;width:152.25pt;height:14.4pt;z-index:251669504;mso-width-relative:margin;mso-height-relative:margin" filled="f" stroked="f">
            <v:textbox style="mso-next-textbox:#_x0000_s1033">
              <w:txbxContent>
                <w:p w:rsidR="000171C3" w:rsidRPr="000171C3" w:rsidRDefault="000171C3" w:rsidP="000171C3"/>
              </w:txbxContent>
            </v:textbox>
          </v:shape>
        </w:pict>
      </w:r>
      <w:proofErr w:type="gramStart"/>
      <w:r w:rsidR="00477E1C" w:rsidRPr="000171C3">
        <w:rPr>
          <w:rFonts w:ascii="Times New Roman" w:hAnsi="Times New Roman"/>
          <w:b/>
          <w:u w:val="single"/>
          <w:lang w:val="ru-RU"/>
        </w:rPr>
        <w:t>ПРЕДМЕТЫ</w:t>
      </w:r>
      <w:r w:rsidR="00477E1C" w:rsidRPr="000171C3">
        <w:rPr>
          <w:rFonts w:ascii="Times New Roman" w:hAnsi="Times New Roman"/>
          <w:lang w:val="ru-RU"/>
        </w:rPr>
        <w:t xml:space="preserve">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477E1C" w:rsidRPr="000171C3" w:rsidRDefault="00477E1C" w:rsidP="000171C3">
      <w:pPr>
        <w:pStyle w:val="a3"/>
        <w:spacing w:before="0" w:beforeAutospacing="0" w:after="0" w:afterAutospacing="0"/>
        <w:ind w:firstLine="709"/>
        <w:jc w:val="both"/>
      </w:pPr>
      <w:r w:rsidRPr="000171C3">
        <w:rPr>
          <w:b/>
          <w:u w:val="single"/>
        </w:rPr>
        <w:t>УСЛУГИ И ВЫГОДЫ</w:t>
      </w:r>
      <w:r w:rsidRPr="000171C3">
        <w:t xml:space="preserve">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9F7463" w:rsidRPr="000171C3" w:rsidRDefault="009F7463" w:rsidP="000171C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0171C3">
        <w:rPr>
          <w:b/>
          <w:u w:val="single"/>
        </w:rPr>
        <w:t>ЗАВУАЛИРОВАННАЯ ФОРМА ВЗЯТКИ</w:t>
      </w:r>
      <w:r w:rsidRPr="000171C3">
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Pr="000171C3">
        <w:t xml:space="preserve"> т.д. </w:t>
      </w:r>
    </w:p>
    <w:p w:rsidR="009F7463" w:rsidRPr="00544A7F" w:rsidRDefault="009F7463" w:rsidP="000171C3">
      <w:pPr>
        <w:pStyle w:val="menutop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44A7F">
        <w:rPr>
          <w:rFonts w:ascii="Times New Roman" w:hAnsi="Times New Roman"/>
          <w:b/>
          <w:sz w:val="28"/>
          <w:szCs w:val="28"/>
          <w:lang w:val="ru-RU"/>
        </w:rPr>
        <w:lastRenderedPageBreak/>
        <w:t>КТО МОЖЕТ БЫТЬ ПРИВЛЕЧЕН К УГОЛОВНОЙ ОТВЕТСТВЕННОСТИ ЗА ПОЛУЧЕНИЕ (ДАЧУ) ВЗЯТКИ?</w:t>
      </w:r>
    </w:p>
    <w:p w:rsidR="009F7463" w:rsidRPr="00544A7F" w:rsidRDefault="009F7463" w:rsidP="009F7463">
      <w:pPr>
        <w:pStyle w:val="menutop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7463" w:rsidRPr="00143454" w:rsidRDefault="008155F1" w:rsidP="00477E1C">
      <w:pPr>
        <w:pStyle w:val="menutop"/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8155F1">
        <w:rPr>
          <w:rFonts w:ascii="Times New Roman" w:hAnsi="Times New Roman"/>
          <w:b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9" type="#_x0000_t68" style="position:absolute;left:0;text-align:left;margin-left:294.95pt;margin-top:7.4pt;width:11.35pt;height:57.5pt;rotation:2721775fd;z-index:251663360" fillcolor="red">
            <v:fill color2="#e5b8b7 [1301]" rotate="t" focus="100%" type="gradient"/>
            <v:textbox style="layout-flow:vertical-ideographic"/>
          </v:shape>
        </w:pict>
      </w:r>
      <w:r w:rsidRPr="008155F1">
        <w:rPr>
          <w:rFonts w:ascii="Times New Roman" w:hAnsi="Times New Roman"/>
          <w:b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25.7pt;margin-top:16.4pt;width:10.8pt;height:55.2pt;rotation:-2389375fd;z-index:251662336" fillcolor="red">
            <v:fill color2="#e5b8b7 [1301]" rotate="t" focus="100%" type="gradient"/>
            <v:textbox style="layout-flow:vertical-ideographic"/>
          </v:shape>
        </w:pict>
      </w:r>
      <w:r w:rsidRPr="008155F1">
        <w:rPr>
          <w:rFonts w:ascii="Times New Roman" w:hAnsi="Times New Roman"/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79.45pt;margin-top:3.25pt;width:71.25pt;height:13.15pt;z-index:251661312" fillcolor="red">
            <v:fill color2="fill darken(118)" rotate="t" method="linear sigma" focus="100%" type="gradient"/>
          </v:shape>
        </w:pict>
      </w:r>
      <w:r w:rsidR="009F7463" w:rsidRPr="00143454">
        <w:rPr>
          <w:rFonts w:ascii="Times New Roman" w:hAnsi="Times New Roman"/>
          <w:b/>
          <w:sz w:val="32"/>
          <w:szCs w:val="32"/>
          <w:lang w:val="ru-RU"/>
        </w:rPr>
        <w:t>ВЗЯТКОДАТЕЛЬ</w:t>
      </w:r>
      <w:r w:rsidR="009F7463" w:rsidRPr="00143454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9F7463" w:rsidRPr="00143454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9F746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F7463" w:rsidRPr="00143454">
        <w:rPr>
          <w:rFonts w:ascii="Times New Roman" w:hAnsi="Times New Roman"/>
          <w:b/>
          <w:sz w:val="32"/>
          <w:szCs w:val="32"/>
          <w:lang w:val="ru-RU"/>
        </w:rPr>
        <w:t>ВЗЯТКОПОЛУЧАТЕЛЬ</w:t>
      </w:r>
    </w:p>
    <w:p w:rsidR="009F7463" w:rsidRPr="00143454" w:rsidRDefault="009F7463" w:rsidP="00477E1C">
      <w:pPr>
        <w:pStyle w:val="menutop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F7463" w:rsidRPr="00143454" w:rsidRDefault="009F7463" w:rsidP="00477E1C">
      <w:pPr>
        <w:pStyle w:val="menutop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F7463" w:rsidRPr="00143454" w:rsidRDefault="009F7463" w:rsidP="00477E1C">
      <w:pPr>
        <w:pStyle w:val="menutop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F7463" w:rsidRPr="00143454" w:rsidRDefault="009F7463" w:rsidP="00477E1C">
      <w:pPr>
        <w:pStyle w:val="menutop"/>
        <w:spacing w:before="0" w:beforeAutospacing="0" w:after="0" w:afterAutospacing="0"/>
        <w:ind w:left="-993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3454">
        <w:rPr>
          <w:rFonts w:ascii="Times New Roman" w:hAnsi="Times New Roman"/>
          <w:b/>
          <w:sz w:val="32"/>
          <w:szCs w:val="32"/>
          <w:lang w:val="ru-RU"/>
        </w:rPr>
        <w:t>ПОСРЕДНИК</w:t>
      </w:r>
    </w:p>
    <w:p w:rsidR="009F7463" w:rsidRPr="00143454" w:rsidRDefault="009F7463" w:rsidP="00477E1C">
      <w:pPr>
        <w:pStyle w:val="menutop"/>
        <w:spacing w:before="0" w:beforeAutospacing="0" w:after="0" w:afterAutospacing="0"/>
        <w:ind w:left="-99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43454">
        <w:rPr>
          <w:rFonts w:ascii="Times New Roman" w:hAnsi="Times New Roman"/>
          <w:b/>
          <w:sz w:val="28"/>
          <w:szCs w:val="28"/>
          <w:lang w:val="ru-RU"/>
        </w:rPr>
        <w:t>при получении (даче) взятки</w:t>
      </w:r>
    </w:p>
    <w:p w:rsidR="009F7463" w:rsidRPr="00143454" w:rsidRDefault="00477E1C" w:rsidP="00477E1C">
      <w:pPr>
        <w:ind w:left="-99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44A7F"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800225" cy="1125141"/>
            <wp:effectExtent l="19050" t="0" r="9525" b="0"/>
            <wp:docPr id="2" name="Рисунок 8" descr="P:\Методичка_Взятка\1339936962_11_МИ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Методичка_Взятка\1339936962_11_МИН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055" cy="11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63" w:rsidRPr="00544A7F" w:rsidRDefault="008155F1" w:rsidP="009F746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155F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6" type="#_x0000_t202" style="position:absolute;left:0;text-align:left;margin-left:275.45pt;margin-top:126.55pt;width:212.25pt;height:18.15pt;z-index:-251656192;mso-width-relative:margin;mso-height-relative:margin" filled="f" stroked="f">
            <v:textbox style="mso-next-textbox:#_x0000_s1026">
              <w:txbxContent>
                <w:p w:rsidR="000171C3" w:rsidRPr="00477E1C" w:rsidRDefault="000171C3" w:rsidP="00477E1C"/>
              </w:txbxContent>
            </v:textbox>
          </v:shape>
        </w:pict>
      </w:r>
      <w:r w:rsidR="009F7463" w:rsidRPr="00544A7F">
        <w:rPr>
          <w:rFonts w:ascii="Times New Roman" w:hAnsi="Times New Roman"/>
          <w:b/>
          <w:color w:val="FF0000"/>
          <w:sz w:val="28"/>
          <w:szCs w:val="28"/>
        </w:rPr>
        <w:t>ВНИМАНИЕ</w:t>
      </w:r>
    </w:p>
    <w:tbl>
      <w:tblPr>
        <w:tblStyle w:val="a7"/>
        <w:tblW w:w="10182" w:type="dxa"/>
        <w:tblInd w:w="-435" w:type="dxa"/>
        <w:tblLook w:val="04A0"/>
      </w:tblPr>
      <w:tblGrid>
        <w:gridCol w:w="1266"/>
        <w:gridCol w:w="8916"/>
      </w:tblGrid>
      <w:tr w:rsidR="009F7463" w:rsidRPr="004F63B1" w:rsidTr="00477E1C">
        <w:trPr>
          <w:trHeight w:val="2036"/>
        </w:trPr>
        <w:tc>
          <w:tcPr>
            <w:tcW w:w="1266" w:type="dxa"/>
          </w:tcPr>
          <w:p w:rsidR="009F7463" w:rsidRPr="00544A7F" w:rsidRDefault="009F7463" w:rsidP="00017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1123950"/>
                  <wp:effectExtent l="19050" t="0" r="0" b="0"/>
                  <wp:docPr id="1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6" w:type="dxa"/>
          </w:tcPr>
          <w:p w:rsidR="009F7463" w:rsidRPr="002F02B0" w:rsidRDefault="009F7463" w:rsidP="000171C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2F02B0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УЧАСТИЕ РОДСТВЕННИКОВ В ПОЛУЧЕНИИ ВЗЯТКИ</w:t>
            </w:r>
          </w:p>
          <w:p w:rsidR="009F7463" w:rsidRPr="002F02B0" w:rsidRDefault="009F7463" w:rsidP="000171C3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F7463" w:rsidRPr="002F02B0" w:rsidRDefault="009F7463" w:rsidP="000171C3">
            <w:pPr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gramStart"/>
            <w:r w:rsidRPr="002F02B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Действия должностного лица также квалифицируются как получение </w:t>
            </w:r>
            <w:r w:rsidRPr="002F02B0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взятки</w:t>
            </w:r>
            <w:r w:rsidRPr="002F02B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если имущественные выгоды в виде денег, иных ценностей, оказания материальных услуг предоставлены </w:t>
            </w:r>
            <w:r w:rsidRPr="002F02B0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родным и близким должностного лица</w:t>
            </w:r>
            <w:r w:rsidRPr="002F02B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с его согласия, и при этом он использовал свои служебные полномочия в пользу взяткодателя </w:t>
            </w:r>
            <w:proofErr w:type="gramEnd"/>
          </w:p>
        </w:tc>
      </w:tr>
    </w:tbl>
    <w:p w:rsidR="00872522" w:rsidRDefault="00872522" w:rsidP="009F746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9F7463" w:rsidRPr="002F02B0" w:rsidRDefault="009F7463" w:rsidP="009F746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F02B0">
        <w:rPr>
          <w:sz w:val="30"/>
          <w:szCs w:val="30"/>
        </w:rPr>
        <w:t xml:space="preserve">Уголовный кодекс Российской Федерации предусматривает несколько видов преступлений, связанных </w:t>
      </w:r>
      <w:proofErr w:type="gramStart"/>
      <w:r w:rsidRPr="002F02B0">
        <w:rPr>
          <w:sz w:val="30"/>
          <w:szCs w:val="30"/>
        </w:rPr>
        <w:t>со</w:t>
      </w:r>
      <w:proofErr w:type="gramEnd"/>
      <w:r w:rsidRPr="002F02B0">
        <w:rPr>
          <w:sz w:val="30"/>
          <w:szCs w:val="30"/>
        </w:rPr>
        <w:t xml:space="preserve"> взяткой: </w:t>
      </w:r>
    </w:p>
    <w:p w:rsidR="009F7463" w:rsidRPr="002F02B0" w:rsidRDefault="009F7463" w:rsidP="009F746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77E1C" w:rsidRPr="004F63B1" w:rsidTr="000171C3">
        <w:tc>
          <w:tcPr>
            <w:tcW w:w="9571" w:type="dxa"/>
          </w:tcPr>
          <w:p w:rsidR="00477E1C" w:rsidRPr="00477E1C" w:rsidRDefault="008155F1" w:rsidP="00477E1C">
            <w:pPr>
              <w:pStyle w:val="a3"/>
              <w:numPr>
                <w:ilvl w:val="0"/>
                <w:numId w:val="2"/>
              </w:numPr>
              <w:tabs>
                <w:tab w:val="left" w:pos="300"/>
              </w:tabs>
              <w:spacing w:before="0" w:beforeAutospacing="0" w:after="0" w:afterAutospacing="0"/>
              <w:ind w:hanging="720"/>
              <w:jc w:val="both"/>
              <w:rPr>
                <w:rStyle w:val="a6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pict>
                <v:shape id="_x0000_s1034" type="#_x0000_t202" style="position:absolute;left:0;text-align:left;margin-left:-.25pt;margin-top:108.75pt;width:165.45pt;height:16.65pt;z-index:251671552;mso-width-relative:margin;mso-height-relative:margin" filled="f" stroked="f">
                  <v:textbox style="mso-next-textbox:#_x0000_s1034">
                    <w:txbxContent>
                      <w:p w:rsidR="000171C3" w:rsidRPr="000171C3" w:rsidRDefault="000171C3" w:rsidP="000171C3"/>
                    </w:txbxContent>
                  </v:textbox>
                </v:shape>
              </w:pict>
            </w:r>
            <w:r w:rsidR="00477E1C" w:rsidRPr="00477E1C">
              <w:rPr>
                <w:rStyle w:val="a6"/>
                <w:sz w:val="28"/>
                <w:szCs w:val="28"/>
                <w:lang w:val="ru-RU"/>
              </w:rPr>
              <w:t xml:space="preserve">получение взятки </w:t>
            </w:r>
            <w:r w:rsidR="00477E1C" w:rsidRPr="00477E1C">
              <w:rPr>
                <w:sz w:val="28"/>
                <w:szCs w:val="28"/>
                <w:lang w:val="ru-RU"/>
              </w:rPr>
              <w:t>(статья 290 УК РФ)</w:t>
            </w:r>
            <w:r w:rsidR="00477E1C" w:rsidRPr="00477E1C">
              <w:rPr>
                <w:rStyle w:val="a6"/>
                <w:sz w:val="28"/>
                <w:szCs w:val="28"/>
                <w:lang w:val="ru-RU"/>
              </w:rPr>
              <w:t xml:space="preserve">; </w:t>
            </w:r>
          </w:p>
          <w:p w:rsidR="00477E1C" w:rsidRPr="00477E1C" w:rsidRDefault="00477E1C" w:rsidP="00477E1C">
            <w:pPr>
              <w:pStyle w:val="aa"/>
              <w:numPr>
                <w:ilvl w:val="0"/>
                <w:numId w:val="2"/>
              </w:numPr>
              <w:tabs>
                <w:tab w:val="left" w:pos="300"/>
              </w:tabs>
              <w:ind w:hanging="720"/>
              <w:jc w:val="both"/>
              <w:rPr>
                <w:rStyle w:val="a6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77E1C">
              <w:rPr>
                <w:rStyle w:val="a6"/>
                <w:rFonts w:ascii="Times New Roman" w:hAnsi="Times New Roman"/>
                <w:sz w:val="28"/>
                <w:szCs w:val="28"/>
                <w:lang w:val="ru-RU"/>
              </w:rPr>
              <w:t xml:space="preserve">дача взятки </w:t>
            </w:r>
            <w:r w:rsidRPr="00477E1C">
              <w:rPr>
                <w:rFonts w:ascii="Times New Roman" w:hAnsi="Times New Roman"/>
                <w:sz w:val="28"/>
                <w:szCs w:val="28"/>
                <w:lang w:val="ru-RU"/>
              </w:rPr>
              <w:t>(статья 291 УК РФ)</w:t>
            </w:r>
            <w:r w:rsidRPr="00477E1C">
              <w:rPr>
                <w:rStyle w:val="a6"/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77E1C" w:rsidRPr="00477E1C" w:rsidRDefault="00477E1C" w:rsidP="00477E1C">
            <w:pPr>
              <w:pStyle w:val="aa"/>
              <w:numPr>
                <w:ilvl w:val="0"/>
                <w:numId w:val="2"/>
              </w:numPr>
              <w:tabs>
                <w:tab w:val="left" w:pos="300"/>
              </w:tabs>
              <w:ind w:hanging="720"/>
              <w:jc w:val="both"/>
              <w:rPr>
                <w:rStyle w:val="a6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77E1C">
              <w:rPr>
                <w:rStyle w:val="a6"/>
                <w:rFonts w:ascii="Times New Roman" w:hAnsi="Times New Roman"/>
                <w:sz w:val="28"/>
                <w:szCs w:val="28"/>
                <w:lang w:val="ru-RU"/>
              </w:rPr>
              <w:t xml:space="preserve">посредничество во взяточничестве </w:t>
            </w:r>
            <w:r w:rsidRPr="00477E1C">
              <w:rPr>
                <w:rFonts w:ascii="Times New Roman" w:hAnsi="Times New Roman"/>
                <w:sz w:val="28"/>
                <w:szCs w:val="28"/>
                <w:lang w:val="ru-RU"/>
              </w:rPr>
              <w:t>(статья  291.1 УК РФ)</w:t>
            </w:r>
            <w:r w:rsidRPr="00477E1C">
              <w:rPr>
                <w:rStyle w:val="a6"/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77E1C" w:rsidRPr="00477E1C" w:rsidRDefault="00477E1C" w:rsidP="00477E1C">
            <w:pPr>
              <w:pStyle w:val="aa"/>
              <w:numPr>
                <w:ilvl w:val="0"/>
                <w:numId w:val="2"/>
              </w:numPr>
              <w:tabs>
                <w:tab w:val="left" w:pos="300"/>
              </w:tabs>
              <w:ind w:hanging="720"/>
              <w:jc w:val="both"/>
              <w:rPr>
                <w:rStyle w:val="a6"/>
                <w:rFonts w:ascii="Times New Roman" w:hAnsi="Times New Roman"/>
                <w:bCs w:val="0"/>
                <w:sz w:val="28"/>
                <w:szCs w:val="28"/>
                <w:lang w:val="ru-RU"/>
              </w:rPr>
            </w:pPr>
            <w:r w:rsidRPr="00477E1C">
              <w:rPr>
                <w:rStyle w:val="a6"/>
                <w:rFonts w:ascii="Times New Roman" w:hAnsi="Times New Roman"/>
                <w:sz w:val="28"/>
                <w:szCs w:val="28"/>
                <w:lang w:val="ru-RU"/>
              </w:rPr>
              <w:t xml:space="preserve">коммерческий подкуп </w:t>
            </w:r>
            <w:r w:rsidRPr="00477E1C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статья 204 УК РФ)</w:t>
            </w:r>
            <w:r w:rsidRPr="00477E1C">
              <w:rPr>
                <w:rStyle w:val="a6"/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77E1C" w:rsidRPr="002F02B0" w:rsidRDefault="00477E1C" w:rsidP="00872522">
            <w:pPr>
              <w:pStyle w:val="aa"/>
              <w:numPr>
                <w:ilvl w:val="0"/>
                <w:numId w:val="2"/>
              </w:numPr>
              <w:tabs>
                <w:tab w:val="left" w:pos="300"/>
              </w:tabs>
              <w:ind w:hanging="720"/>
              <w:jc w:val="both"/>
              <w:rPr>
                <w:sz w:val="30"/>
                <w:szCs w:val="30"/>
                <w:lang w:val="ru-RU"/>
              </w:rPr>
            </w:pPr>
            <w:r w:rsidRPr="00477E1C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RU"/>
              </w:rPr>
              <w:t xml:space="preserve">провокация взятки либо коммерческого подкупа </w:t>
            </w:r>
            <w:r w:rsidRPr="00477E1C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(статья 304 УК РФ)</w:t>
            </w:r>
            <w:r w:rsidRPr="00477E1C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</w:tr>
    </w:tbl>
    <w:p w:rsidR="00477E1C" w:rsidRPr="000171C3" w:rsidRDefault="00477E1C" w:rsidP="00477E1C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477E1C" w:rsidRPr="00544A7F" w:rsidRDefault="00477E1C" w:rsidP="00477E1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44A7F">
        <w:rPr>
          <w:rFonts w:ascii="Times New Roman" w:hAnsi="Times New Roman"/>
          <w:b/>
          <w:color w:val="FF0000"/>
          <w:sz w:val="28"/>
          <w:szCs w:val="28"/>
        </w:rPr>
        <w:t>ВНИМАНИЕ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1"/>
        <w:gridCol w:w="8110"/>
      </w:tblGrid>
      <w:tr w:rsidR="00477E1C" w:rsidRPr="004F63B1" w:rsidTr="00477E1C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C" w:rsidRPr="00544A7F" w:rsidRDefault="00477E1C" w:rsidP="000171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4A7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962025"/>
                  <wp:effectExtent l="19050" t="0" r="0" b="0"/>
                  <wp:docPr id="17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C" w:rsidRPr="002F02B0" w:rsidRDefault="00477E1C" w:rsidP="000171C3">
            <w:pPr>
              <w:pStyle w:val="a3"/>
              <w:spacing w:before="0" w:beforeAutospacing="0" w:after="0" w:afterAutospacing="0"/>
              <w:jc w:val="both"/>
              <w:rPr>
                <w:b/>
                <w:sz w:val="32"/>
                <w:szCs w:val="32"/>
                <w:lang w:val="ru-RU"/>
              </w:rPr>
            </w:pPr>
            <w:r w:rsidRPr="002F02B0">
              <w:rPr>
                <w:b/>
                <w:sz w:val="28"/>
                <w:szCs w:val="28"/>
                <w:lang w:val="ru-RU"/>
              </w:rPr>
              <w:t xml:space="preserve">Невыполнение государственным гражданским служащим обязанности по уведомлению о случаях предложения ему (вымогательства) взятки </w:t>
            </w:r>
            <w:r w:rsidR="00872522">
              <w:rPr>
                <w:b/>
                <w:sz w:val="28"/>
                <w:szCs w:val="28"/>
                <w:lang w:val="ru-RU"/>
              </w:rPr>
              <w:t xml:space="preserve">также </w:t>
            </w:r>
            <w:r w:rsidRPr="002F02B0">
              <w:rPr>
                <w:b/>
                <w:sz w:val="28"/>
                <w:szCs w:val="28"/>
                <w:lang w:val="ru-RU"/>
              </w:rPr>
              <w:t>является правонарушением, влекущим увольнение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F02B0">
              <w:rPr>
                <w:b/>
                <w:sz w:val="28"/>
                <w:szCs w:val="28"/>
                <w:lang w:val="ru-RU"/>
              </w:rPr>
              <w:t>с государственной службы либо привлечение его к иным видам ответственности в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F02B0">
              <w:rPr>
                <w:b/>
                <w:sz w:val="28"/>
                <w:szCs w:val="28"/>
                <w:lang w:val="ru-RU"/>
              </w:rPr>
              <w:t>соответствии с законодательством Российской Федерации.</w:t>
            </w:r>
          </w:p>
        </w:tc>
      </w:tr>
    </w:tbl>
    <w:p w:rsidR="00477E1C" w:rsidRPr="00A14DEB" w:rsidRDefault="00477E1C" w:rsidP="000171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77E1C" w:rsidRPr="00A14DEB" w:rsidSect="005A146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49E7"/>
    <w:multiLevelType w:val="multilevel"/>
    <w:tmpl w:val="BAC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B650D"/>
    <w:multiLevelType w:val="hybridMultilevel"/>
    <w:tmpl w:val="EA6CB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DEB"/>
    <w:rsid w:val="000171C3"/>
    <w:rsid w:val="000F3806"/>
    <w:rsid w:val="00140F4E"/>
    <w:rsid w:val="004301D8"/>
    <w:rsid w:val="00477E1C"/>
    <w:rsid w:val="005900F1"/>
    <w:rsid w:val="005A146E"/>
    <w:rsid w:val="00664403"/>
    <w:rsid w:val="006802E2"/>
    <w:rsid w:val="007D031D"/>
    <w:rsid w:val="008155F1"/>
    <w:rsid w:val="00872522"/>
    <w:rsid w:val="009F7463"/>
    <w:rsid w:val="00A14DEB"/>
    <w:rsid w:val="00B36569"/>
    <w:rsid w:val="00D03AE5"/>
    <w:rsid w:val="00E7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F1"/>
  </w:style>
  <w:style w:type="paragraph" w:styleId="1">
    <w:name w:val="heading 1"/>
    <w:basedOn w:val="a"/>
    <w:link w:val="10"/>
    <w:uiPriority w:val="9"/>
    <w:qFormat/>
    <w:rsid w:val="00A14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4D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A14DEB"/>
    <w:rPr>
      <w:i/>
      <w:iCs/>
    </w:rPr>
  </w:style>
  <w:style w:type="character" w:styleId="a6">
    <w:name w:val="Strong"/>
    <w:basedOn w:val="a0"/>
    <w:uiPriority w:val="22"/>
    <w:qFormat/>
    <w:rsid w:val="009F7463"/>
    <w:rPr>
      <w:b/>
      <w:bCs/>
    </w:rPr>
  </w:style>
  <w:style w:type="table" w:styleId="a7">
    <w:name w:val="Table Grid"/>
    <w:basedOn w:val="a1"/>
    <w:uiPriority w:val="59"/>
    <w:rsid w:val="009F746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nutop">
    <w:name w:val="menutop"/>
    <w:basedOn w:val="a"/>
    <w:rsid w:val="009F7463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9F7463"/>
    <w:pPr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Lucida Sans Unicode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7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u.wikipedia.org/wiki/%D0%94%D0%B5%D0%BD%D1%8C%D0%B3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kadr_00</cp:lastModifiedBy>
  <cp:revision>6</cp:revision>
  <cp:lastPrinted>2018-11-22T03:16:00Z</cp:lastPrinted>
  <dcterms:created xsi:type="dcterms:W3CDTF">2018-11-22T02:44:00Z</dcterms:created>
  <dcterms:modified xsi:type="dcterms:W3CDTF">2018-11-23T01:52:00Z</dcterms:modified>
</cp:coreProperties>
</file>